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96 NW_28044 (Nordrhein-Westfalen) — Form und Frist des Einstellungsbeschlusses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Einstellungsbeschluss ist zu begründen und zuzustellen. § 94 Absatz 2 findet mit der Maßgabe entsprechende Anwendung, dass im Fall des § 95 Absatz 1 eine Mitwirkung der Beisitzerinnen und Beisitzer aus dem Beruf der Beschuldigten nicht erforderlich ist.</w:t>
      </w:r>
    </w:p>
    <w:p>
      <w:r>
        <w:t xml:space="preserve">(2) Im Falle des Todes von Beschuldigten muss das Gericht den gemäß § 95 Abs. 2 antragsberechtigten Angehörigen den Einstellungsbeschluss mitteilen.</w:t>
      </w:r>
    </w:p>
    <w:p>
      <w:r>
        <w:rPr>
          <w:color w:val="555555"/>
          <w:sz w:val="17"/>
        </w:rPr>
        <w:t xml:space="preserve">Zitiervorschlag: § 96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https://recht.nulegal.eu/gesetze/NW_28044/96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