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92 NW_28044 (Nordrhein-Westfalen) — Inhalt des Urteils</w:t>
      </w:r>
    </w:p>
    <w:p>
      <w:r>
        <w:rPr>
          <w:color w:val="555555"/>
          <w:sz w:val="18"/>
        </w:rPr>
        <w:t xml:space="preserve">HeilBerG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Hält das Gericht eine Verletzung der Berufspflichten für erwiesen, so erkennt es im Urteil auf eine oder mehrere der in § 60 aufgeführten Maßnahmen.</w:t>
      </w:r>
    </w:p>
    <w:p>
      <w:r>
        <w:t xml:space="preserve">(2) Anderenfalls stellt es im Urteil fest,</w:t>
      </w:r>
    </w:p>
    <w:p>
      <w:r>
        <w:t xml:space="preserve">a) dass eine Verletzung der Berufspflichten nicht vorliegt oder</w:t>
      </w:r>
    </w:p>
    <w:p>
      <w:r>
        <w:t xml:space="preserve">b) dass eine Verletzung der Berufspflichten nicht erwiesen ist.</w:t>
      </w:r>
    </w:p>
    <w:p>
      <w:r>
        <w:rPr>
          <w:color w:val="555555"/>
          <w:sz w:val="17"/>
        </w:rPr>
        <w:t xml:space="preserve">Zitiervorschlag: § 92 NW_28044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https://recht.nulegal.eu/gesetze/NW_28044/92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