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NW_28044 (Nordrhein-Westfalen) — Ablauf der Hauptverhandlung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Vorsitz eröffnet und leitet die Hauptverhandlung.</w:t>
      </w:r>
    </w:p>
    <w:p>
      <w:r>
        <w:t xml:space="preserve">(2) In der Hauptverhandlung trägt er oder die oder der von ihm bestellte Berichterstatterin oder Berichterstatter den wesentlichen Inhalt der Akten vor.</w:t>
      </w:r>
    </w:p>
    <w:p>
      <w:r>
        <w:t xml:space="preserve">(3) Sind Beschuldigte erschienen, so sind sie zu hören.</w:t>
      </w:r>
    </w:p>
    <w:p>
      <w:r>
        <w:rPr>
          <w:color w:val="555555"/>
          <w:sz w:val="17"/>
        </w:rPr>
        <w:t xml:space="preserve">Zitiervorschlag: § 87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