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NW_28044 (Nordrhein-Westfalen) — Eröffnung des Verfahrens</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berufsgerichtliche Verfahren wird durch einen Beschluss des Berufsgerichts für Heilberufe eröffnet, in welchem die den Beschuldigten zur Last gelegten Verfehlungen anzuführen sind (Rechtshängigkeit). Die Zuständigkeit des Gerichts wird durch eine Veränderung der sie begründenden Umstände nach Eintritt der Rechtshängigkeit nicht berührt.</w:t>
      </w:r>
    </w:p>
    <w:p>
      <w:r>
        <w:t xml:space="preserve">(2) Der Beschluss ist den Beschuldigten, der Kammer und der Bezirksregierung als Vertretung der antragsberechtigten Aufsichtsbehörde zuzustellen. Findet ein Ermittlungsverfahren statt, so ist in dem Beschluss zugleich ein richterliches Mitglied des Berufsgerichts für Heilberufe zu benennen, das das Ermittlungsverfahren führt (Untersuchungsführerin oder Untersuchungsführer).</w:t>
      </w:r>
    </w:p>
    <w:p>
      <w:r>
        <w:rPr>
          <w:color w:val="555555"/>
          <w:sz w:val="17"/>
        </w:rPr>
        <w:t xml:space="preserve">Zitiervorschlag: § 75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