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NW_28044 (Nordrhein-Westfalen) — Berufsgerichte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Landesteile Nordrhein und Westfalen-Lippe wird je ein Berufsgericht für Heilberufe als erste Instanz bei den Verwaltungsgerichten Köln und Münster gebildet.</w:t>
      </w:r>
    </w:p>
    <w:p>
      <w:r>
        <w:t xml:space="preserve">(2) Für das Land Nordrhein-Westfalen wird als Rechtsmittelinstanz ein Landesberufsgericht für Heilberufe beim Oberverwaltungsgericht errichtet.</w:t>
      </w:r>
    </w:p>
    <w:p>
      <w:r>
        <w:rPr>
          <w:color w:val="555555"/>
          <w:sz w:val="17"/>
        </w:rPr>
        <w:t xml:space="preserve">Zitiervorschlag: § 61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https://recht.nulegal.eu/gesetze/NW_28044/61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