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NW_28044 (Nordrhein-Westfalen) — Berufsgerichtliche Maßnahmen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berufsgerichtlichen Verfahren kann erkannt werden auf:</w:t>
      </w:r>
    </w:p>
    <w:p>
      <w:r>
        <w:t xml:space="preserve">1. Verweis,</w:t>
      </w:r>
    </w:p>
    <w:p>
      <w:r>
        <w:t xml:space="preserve">2. Entziehung des passiven Berufswahlrechts,</w:t>
      </w:r>
    </w:p>
    <w:p>
      <w:r>
        <w:t xml:space="preserve">3. Teilnahme an einer bestimmten Fortbildung zur Qualitätssicherung auf eigene Kosten,</w:t>
      </w:r>
    </w:p>
    <w:p>
      <w:r>
        <w:t xml:space="preserve">4. Geldbuße bis zu einhunderttausend Euro und</w:t>
      </w:r>
    </w:p>
    <w:p>
      <w:r>
        <w:t xml:space="preserve">5. Feststellung der Unwürdigkeit zur Ausübung des Berufs.</w:t>
      </w:r>
    </w:p>
    <w:p>
      <w:r>
        <w:t xml:space="preserve">(2) Die in Absatz 1 Nummer 1 bis 4 genannten Maßnahmen können nebeneinander getroffen werden.</w:t>
      </w:r>
    </w:p>
    <w:p>
      <w:r>
        <w:t xml:space="preserve">(3) In besonderen Fällen kann zusätzlich auf Veröffentlichung der Entscheidung erkannt werden.</w:t>
      </w:r>
    </w:p>
    <w:p>
      <w:r>
        <w:rPr>
          <w:color w:val="555555"/>
          <w:sz w:val="17"/>
        </w:rPr>
        <w:t xml:space="preserve">Zitiervorschlag: § 60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https://recht.nulegal.eu/gesetze/NW_28044/60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