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NW_28044 (Nordrhein-Westfalen) — Allgemeines</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 der in § 1 Nummer 3 genannten Kammerangehörigen erfolgt ab dem 1. Januar 2024 nach den Bestimmungen dieses Abschnitts und nach der durch die Pflegekammer zu erlassenden Weiterbildungsordnung. Diese Weiterbildungsordnung regelt auch das Nähere zu den personellen und sachlichen Anforderungen an die Weiterbildungsstätten.</w:t>
      </w:r>
    </w:p>
    <w:p>
      <w:r>
        <w:t xml:space="preserve">(2) Die Übergangsbestimmungen des § 120 bleiben unberührt.</w:t>
      </w:r>
    </w:p>
    <w:p>
      <w:r>
        <w:rPr>
          <w:color w:val="555555"/>
          <w:sz w:val="17"/>
        </w:rPr>
        <w:t xml:space="preserve">Zitiervorschlag: § 54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