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NW_28044 (Nordrhein-Westfalen) — Geltung von Anerkennungen anderer Kammern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im übrigen Geltungsbereich des Gesetzes über die Ausübung der Zahnheilkunde erteilte Anerkennung, eine Bezeichnung im Sinne des § 33 zu führen, gilt auch in Nordrhein-Westfalen.</w:t>
      </w:r>
    </w:p>
    <w:p>
      <w:r>
        <w:t xml:space="preserve">IV. Abschnitt</w:t>
      </w:r>
    </w:p>
    <w:p>
      <w:r>
        <w:t xml:space="preserve">Weiterbildung der Pflegefachpersonen (Fn 12)</w:t>
      </w:r>
    </w:p>
    <w:p>
      <w:r>
        <w:rPr>
          <w:color w:val="555555"/>
          <w:sz w:val="17"/>
        </w:rPr>
        <w:t xml:space="preserve">Zitiervorschlag: § 53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https://recht.nulegal.eu/gesetze/NW_28044/53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