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NW_28044 (Nordrhein-Westfalen) — Anerkennungsverfahren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 mit einem fachbezogenen Diplom, einem Prüfungszeugnis oder einem sonstigen fachlichen Weiterbildungsnachweis, die nach dem Recht der Europäischen Union automatisch anerkannt werden oder einer solchen Anerkennung gleichstehen, erhalten auf Antrag die entsprechende Anerkennung nach § 35 Absatz 1 Satz 1. Ein Drittstaatsdiplom über eine abgeschlossene Weiterbildung, das in einem anderen europäischen Staat anerkannt wurde, steht der Anerkennung nach Satz 1 gleich, wenn eine dreijährige Tätigkeit in dem jeweiligen Gebiet, Teilgebiet oder Bereich im Hoheitsgebiet des Staates, der die Weiterbildung anerkannt hat, durch diesen bescheinigt wird. Eine Anerkennung erhält auch, wer einen Weiterbildungsnachweis aus einem Drittstaat besitzt, wenn die Gleichwertigkeit der Weiterbildung gegeben ist.</w:t>
      </w:r>
    </w:p>
    <w:p>
      <w:r>
        <w:t xml:space="preserve">(2) Ist die in einem europäischen Staat abgeschlossene Weiterbildung nicht nach Absatz 1 Satz 1 anerkannt oder gleichwertig, hat die antragstellende Person einen Anpassungslehrgang oder eine Eignungsprüfung nach Artikel 14 der Richtlinie 2005/36/EG und § 14 Absatz 2 in Verbindung mit § 11 des Berufsqualifikationsfeststellungsgesetzes NRW vom 28. Mai 2013 (GV. NRW. S. 272) in der jeweils geltenden Fassung abzuleisten. Ist die in einem Drittstaat abgeschlossene Weiterbildung nicht nach Absatz 1 Satz 3 anerkannt oder gleichwertig, hat die antragstellende Person einen Anpassungslehrgang oder eine Kenntnisprüfung nach § 15 Absatz 1 und 2 des Berufsqualifikationsfeststellungsgesetzes NRW abzuleisten. Ist die in einem Drittstaat abgeschlossene Weiterbildung nach Artikel 3 Absatz 2 der Richtlinie 2005/36/EG gleichgestellt, aber nicht nach Absatz 1 Satz 3 anerkannt, hat die antragstellende Person einen Anpassungslehrgang oder eine Eignungsprüfung gemäß § 15 Absatz 3 und § 11 des Berufsqualifikationsfeststellungsgesetzes NRW abzuleisten. Vor der Entscheidung über eine Anpassungsmaßnahme ist zunächst zu prüfen, ob die von der antragstellenden Person im Rahmen ihrer Berufspraxis oder durch lebenslanges Lernen erworbenen und formell als gültig anerkannten Kenntnisse, Fähigkeiten und Kompetenzen den wesentlichen Unterschied ganz oder teilweise ausgleichen können.</w:t>
      </w:r>
    </w:p>
    <w:p>
      <w:r>
        <w:t xml:space="preserve">(3) Das Verfahren der Anerkennung einer im Ausland absolvierten Weiterbildung richtet sich nach den Bestimmungen des Berufsqualifikationsfeststellungsgesetzes NRW.</w:t>
      </w:r>
    </w:p>
    <w:p>
      <w:r>
        <w:t xml:space="preserve">(4) Die Kammer teilt der zuständigen Behörde eines anderen europäischen Staates auf Ersuchen die Daten mit, die für die Zulassung als Fachärztin oder Facharzt und für die Zulassung als Fachzahnärztin oder Fachzahnarzt erforderlich sind und bestätigt gegebenenfalls, dass die Mindestanforderungen an die Weiterbildung nach dem Recht der Europäischen Union erfüllt sind. Die Kammer darf Auskünfte nach Satz 1 von der zuständigen Behörde eines anderen europäischen Staates einholen, wenn sie berechtigte Zweifel an der Richtigkeit der Angaben der antragstellenden Person hat.</w:t>
      </w:r>
    </w:p>
    <w:p>
      <w:r>
        <w:rPr>
          <w:color w:val="555555"/>
          <w:sz w:val="17"/>
        </w:rPr>
        <w:t xml:space="preserve">Zitiervorschlag: § 40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