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NW_28044 (Nordrhein-Westfalen) — Berufsordnung, Notfalldienstordnung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Nähere zu § 30 regeln die Berufsordnung und die Notfalldienstordnung.</w:t>
      </w:r>
    </w:p>
    <w:p>
      <w:r>
        <w:t xml:space="preserve">(2) Die Notfalldienstordnung hat insbesondere vorzusehen, dass die Verpflichtung zur Teilnahme am Notfalldienst nur für einen bestimmten regionalen Bereich gilt. Sie kann zur Sicherstellung der Qualität des Notfalldienstes bestimmen, dass die Notfalldiensttätigkeit in einer zentralen Notfalldiensteinrichtung zu erfolgen hat und sich die Notfalldienstverpflichteten in diesem Fall an den Kosten dieser Einrichtung zu beteiligen haben. Die Notfalldienstordnung kann ferner Ausnahmetatbestände von der Teilnahmeverpflichtung für bestimmte Fallgruppen und Teilnahmebefreiungen, insbesondere wegen körperlicher Behinderungen oder besonders belastender familiärer Pflichten sowie wegen Teilnahme an einem klinischen Bereitschaftsdienst mit Notfallversorgung vorsehen. Teilnahmebefreiungen können auf Antrag ganz, teilweise oder vorübergehend erteilt werden.</w:t>
      </w:r>
    </w:p>
    <w:p>
      <w:r>
        <w:t xml:space="preserve">(2a) Für den tierärztlichen Notfalldienst kann die Notfalldienstordnung bestimmen, dass die Verpflichteten nur diejenigen Tierarten zu behandeln haben, auf die sich ihr Tätigkeitsbereich erstreckt. Die Notfalldienstordnung kann ferner Ausnahmetatbestände von der Teilnahmeverpflichtung und eine Begrenzung der Notfalldienstzeiten vorsehen, wenn nach den örtlichen Gegebenheiten für bestimmte Tierarten kein Bedarf für eine Notfallversorgung besteht oder eine ausreichende Notfallversorgung für bestimmte Tierarten bereits auf andere Weise sichergestellt ist. Der Regelung eines tierärztlichen Notfalldienstes in einer Notfalldienstordnung bedarf es nicht, wenn und soweit eine Notfallversorgung auch durch kollegiale Übereinkunft sichergestellt werden kann.</w:t>
      </w:r>
    </w:p>
    <w:p>
      <w:r>
        <w:t xml:space="preserve">(3) Die Berufsordnung und die Notfalldienstordnung werden von der zuständigen Kammer erlassen. Sie bedürfen der Genehmigung der Aufsichtsbehörde.</w:t>
      </w:r>
    </w:p>
    <w:p>
      <w:r>
        <w:rPr>
          <w:color w:val="555555"/>
          <w:sz w:val="17"/>
        </w:rPr>
        <w:t xml:space="preserve">Zitiervorschlag: § 31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