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NW_28044 (Nordrhein-Westfalen) — Rechtsaufsicht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Aufsichtsbehörde über die Kammern mit Ausnahme der Versorgungseinrichtungen ist das jeweils zuständige Fachministerium. Es übt die allgemeine Körperschaftsaufsicht (§ 20 Abs. 1 Landesorganisationsgesetz) aus.</w:t>
      </w:r>
    </w:p>
    <w:p>
      <w:r>
        <w:t xml:space="preserve">(2) Die Aufsichtsbehörde ist zu den Sitzungen der Kammerversammlung einzuladen.</w:t>
      </w:r>
    </w:p>
    <w:p>
      <w:r>
        <w:t xml:space="preserve">(3) Jede Kammer erstattet der Aufsichtsbehörde jährlich einen Bericht über das abgelaufene Geschäftsjahr.</w:t>
      </w:r>
    </w:p>
    <w:p>
      <w:r>
        <w:t xml:space="preserve">II. Abschnitt</w:t>
      </w:r>
    </w:p>
    <w:p>
      <w:r>
        <w:t xml:space="preserve">Berufsausübung</w:t>
      </w:r>
    </w:p>
    <w:p>
      <w:r>
        <w:rPr>
          <w:color w:val="555555"/>
          <w:sz w:val="17"/>
        </w:rPr>
        <w:t xml:space="preserve">Zitiervorschlag: § 28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