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NW_28044 (Nordrhein-Westfalen) — Satzungsbefugnis, Bundesvertretung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Kammerversammlung beschließt die Hauptsatzung, die Geschäftsordnung, die Gebührenordnung, die Beitragsordnung, den Haushaltsplan und die sonstigen Satzungen.</w:t>
      </w:r>
    </w:p>
    <w:p>
      <w:r>
        <w:t xml:space="preserve">(2) Hauptsatzung, Geschäftsordnung, Gebührenordnung und Beitragsordnung bedürfen der Genehmigung der Aufsichtsbehörde; Ausnahmen bestimmt die Aufsichtsbehörde.</w:t>
      </w:r>
    </w:p>
    <w:p>
      <w:r>
        <w:t xml:space="preserve">(3) Genehmigte Satzungen werden auf Kosten der Kammer im Ministerialblatt für das Land Nordrhein-Westfalen bekannt gegeben. Ausnahmen bestimmt die Aufsichtsbehörde.</w:t>
      </w:r>
    </w:p>
    <w:p>
      <w:r>
        <w:t xml:space="preserve">(4) Die Kammerversammlung wählt ihre Delegierten zu den Gremien der beruflichen Vertretung auf Bundesebene. § 22 Abs. 2 zweiter Halbsatz gilt entsprechend.</w:t>
      </w:r>
    </w:p>
    <w:p>
      <w:r>
        <w:rPr>
          <w:color w:val="555555"/>
          <w:sz w:val="17"/>
        </w:rPr>
        <w:t xml:space="preserve">Zitiervorschlag: § 23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