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NW_28044 (Nordrhein-Westfalen) — Beschlussfassung, Wahl des Vorstands und der Präsidentin oder des Präsidenten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Beschlüsse der Kammerversammlung werden mit Stimmenmehrheit gefasst, soweit nicht dieses Gesetz oder die Hauptsatzung oder die übrigen Satzungen etwas anderes vorschreiben. Bei Stimmengleichheit gilt ein Beschluss als abgelehnt.</w:t>
      </w:r>
    </w:p>
    <w:p>
      <w:r>
        <w:t xml:space="preserve">(2) Die Beschlüsse der Kammerversammlung sind nur gültig, wenn mindestens die Hälfte der Mitglieder anwesend ist.</w:t>
      </w:r>
    </w:p>
    <w:p>
      <w:r>
        <w:t xml:space="preserve">(3) Die Hauptsatzung kann zulassen, dass Beschlüsse der Mitglieder schriftlich oder in elektronischer Form gefasst werden; das Nähere hat die Hauptsatzung zu regeln.</w:t>
      </w:r>
    </w:p>
    <w:p>
      <w:r>
        <w:t xml:space="preserve">(4) Die Kammerversammlung wählt nach den Bestimmungen der Hauptsatzung oder der übrigen Satzungen den Vorstand und die Präsidentin oder den Präsidenten.</w:t>
      </w:r>
    </w:p>
    <w:p>
      <w:r>
        <w:rPr>
          <w:color w:val="555555"/>
          <w:sz w:val="17"/>
        </w:rPr>
        <w:t xml:space="preserve">Zitiervorschlag: § 20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