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NW_28044 (Nordrhein-Westfalen) — Wahlordnung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Aufsichtsbehörde erlässt nach Anhörung der Kammern in der Wahlordnung die zur Durchführung der Wahl erforderlichen Rechtsvorschriften, insbesondere über</w:t>
      </w:r>
    </w:p>
    <w:p>
      <w:r>
        <w:t xml:space="preserve">1. die Bestimmung des Wahltages, der Wahlzeit und ihre Bekanntmachungen,</w:t>
      </w:r>
    </w:p>
    <w:p>
      <w:r>
        <w:t xml:space="preserve">2. die Bildung und die Aufgaben der Wahlorgane,</w:t>
      </w:r>
    </w:p>
    <w:p>
      <w:r>
        <w:t xml:space="preserve">3. die auf die Wahlkreise entfallenden Mitgliedersitze und ihre Bekanntmachung,</w:t>
      </w:r>
    </w:p>
    <w:p>
      <w:r>
        <w:t xml:space="preserve">4. die Voraussetzungen für die Aufnahme in das Wählerverzeichnis, dessen Führung, Auslegung, Berichtigung und Abschluss, über den Einspruch gegen das Wählerverzeichnis und über die Benachrichtigung der Wahlberechtigten,</w:t>
      </w:r>
    </w:p>
    <w:p>
      <w:r>
        <w:t xml:space="preserve">5. die Anforderungen an die Wahlvorschläge, ihre Zulassung und ihre Bekanntmachungen,</w:t>
      </w:r>
    </w:p>
    <w:p>
      <w:r>
        <w:t xml:space="preserve">6. die Gestaltung der Stimmzettel,</w:t>
      </w:r>
    </w:p>
    <w:p>
      <w:r>
        <w:t xml:space="preserve">7. die Zusendung der Wahlunterlagen für die Stimmabgabe,</w:t>
      </w:r>
    </w:p>
    <w:p>
      <w:r>
        <w:t xml:space="preserve">8. die Wahlhandlung,</w:t>
      </w:r>
    </w:p>
    <w:p>
      <w:r>
        <w:t xml:space="preserve">9. die Auszählung der Stimmen und die Voraussetzungen für die Gültigkeit,</w:t>
      </w:r>
    </w:p>
    <w:p>
      <w:r>
        <w:t xml:space="preserve">10. die Ermittlung des Wahlergebnisses einschließlich der Ermittlung der auf die einzelnen Wahlvorschläge entfallenden Sitze und ihre Bekanntmachung,</w:t>
      </w:r>
    </w:p>
    <w:p>
      <w:r>
        <w:t xml:space="preserve">11. den Erwerb und den Verlust der Mitgliedschaft in der Kammerversammlung, die Nachfolge sowie die entsprechenden Bekanntmachungen,</w:t>
      </w:r>
    </w:p>
    <w:p>
      <w:r>
        <w:t xml:space="preserve">12. die Wahlprüfung,</w:t>
      </w:r>
    </w:p>
    <w:p>
      <w:r>
        <w:t xml:space="preserve">13. die Wahlanfechtung,</w:t>
      </w:r>
    </w:p>
    <w:p>
      <w:r>
        <w:t xml:space="preserve">14. die Voraussetzungen für Wiederholungswahlen.</w:t>
      </w:r>
    </w:p>
    <w:p>
      <w:r>
        <w:t xml:space="preserve">(2) Abweichend von den in der Wahlordnung zur Durchführung der Wahl enthaltenen Rechtsvorschriften können die Kammern die Form der Stimmabgabe durch Satzung regeln. Die Satzung bedarf der Genehmigung der Aufsichtsbehörde.</w:t>
      </w:r>
    </w:p>
    <w:p>
      <w:r>
        <w:rPr>
          <w:color w:val="555555"/>
          <w:sz w:val="17"/>
        </w:rPr>
        <w:t xml:space="preserve">Zitiervorschlag: § 18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