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NW_28044 (Nordrhein-Westfalen) — Wahlverfahren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 erfolgt aufgrund von Wahlvorschlägen, die bei den Wahlen zu den Ärztekammern von mindestens 40, zu den Apothekerkammern von mindestens 20, zu der Psychotherapeutenkammer sowie zu den Zahnärztekammern von mindestens 15 und zu den Tierärztekammern von mindestens 10 und zur Pflegekammer von mindestens 40 in dem Wahlkreis wahlberechtigten Personen unterschrieben sein müssen, wobei die elektronische Namenswiedergabe genügt, sofern die jeweilige Kammer hierzu ein Verfahren entwickelt hat. Jeder Wahlvorschlag soll das Geschlecht, das unter den wahlberechtigten Berufsangehörigen in der Minderheit ist, mindestens entsprechend seinem Anteil an der Gesamtzahl der wahlberechtigten Berufsangehörigen berücksichtigen und eine Reihenfolge enthalten, die es ermöglicht, dass das Geschlecht in der Minderheit in der Kammerversammlung mindestens entsprechend seinem zahlenmäßigen Verhältnis vertreten sein kann, soweit keine sachlichen Gründe entgegenstehen. Die Wahlleitung stellt fest, wie hoch der Anteil der Geschlechter an den wahlberechtigten Berufsangehörigen ist.</w:t>
      </w:r>
    </w:p>
    <w:p>
      <w:r>
        <w:t xml:space="preserve">(2) Damit die Vertrauenspersonen bei der anstehenden Wahl zur Kammerversammlung für ihre Wahlvorschläge werben können, hat die Kammer auf Anforderung der jeweiligen Vertrauensperson für den Wahlvorschlag ein Verzeichnis der Kammerangehörigen auszuhändigen, das Name, Vorname und private Anschrift enthält. Die private Anschrift ist durch die berufliche Anschrift zu ersetzen, sofern Kammerangehörige dies gegenüber der Kammer schriftlich erklärt haben und die Kammer die Angabe der beruflichen Anschrift in diesem Verzeichnis zulässt.</w:t>
      </w:r>
    </w:p>
    <w:p>
      <w:r>
        <w:rPr>
          <w:color w:val="555555"/>
          <w:sz w:val="17"/>
        </w:rPr>
        <w:t xml:space="preserve">Zitiervorschlag: § 16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