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NW_28044 (Nordrhein-Westfalen) — Wählbarkeit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Wählbar sind alle wahlberechtigten Kammerangehörigen, die am Wahltage mindestens fünfzehn Wochen der Kammer angehören.</w:t>
      </w:r>
    </w:p>
    <w:p>
      <w:r>
        <w:t xml:space="preserve">(2) Nicht wählbar sind Kammerangehörige, die am Wahltage</w:t>
      </w:r>
    </w:p>
    <w:p>
      <w:r>
        <w:t xml:space="preserve">a) infolge gerichtlicher Entscheidung die Wählbarkeit oder die Fähigkeit zur Bekleidung öffentlicher Ämter nicht besitzen,</w:t>
      </w:r>
    </w:p>
    <w:p>
      <w:r>
        <w:t xml:space="preserve">b) infolge berufsgerichtlicher Entscheidungen das passive Berufswahlrecht nicht besitzen (§ 60 Absatz 1 Nummer 2), oder</w:t>
      </w:r>
    </w:p>
    <w:p>
      <w:r>
        <w:t xml:space="preserve">c) hauptberuflich bei der Kammer oder der Aufsichtsbehörde beschäftigt sind.</w:t>
      </w:r>
    </w:p>
    <w:p>
      <w:r>
        <w:rPr>
          <w:color w:val="555555"/>
          <w:sz w:val="17"/>
        </w:rPr>
        <w:t xml:space="preserve">Zitiervorschlag: § 13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