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NW_28044 (Nordrhein-Westfalen) — Wahlberechtigung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Wahlberechtigt zur Kammerversammlung sind alle Kammerangehörigen außer denjenigen, die infolge gerichtlicher Entscheidung das Wahlrecht nicht besitzen.</w:t>
      </w:r>
    </w:p>
    <w:p>
      <w:r>
        <w:t xml:space="preserve">(2) Voraussetzung für die Ausübung des Wahlrechts ist die Eintragung in das Wählerverzeichnis.</w:t>
      </w:r>
    </w:p>
    <w:p>
      <w:r>
        <w:rPr>
          <w:color w:val="555555"/>
          <w:sz w:val="17"/>
        </w:rPr>
        <w:t xml:space="preserve">Zitiervorschlag: § 12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