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110 NW_28044 (Nordrhein-Westfalen) — Vollstreckung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aufgrund dieses Gesetzes ergangenen Entscheidungen werden vollstreckbar, sobald sie rechtskräftig sind.</w:t>
      </w:r>
    </w:p>
    <w:p>
      <w:r>
        <w:t xml:space="preserve">(2) Der Verweis gilt mit dem Eintritt der Rechtskraft des Urteils als vollstreckt.</w:t>
      </w:r>
    </w:p>
    <w:p>
      <w:r>
        <w:t xml:space="preserve">(3) Die unter § 60 Absatz 1 Nummer 2 und 5 aufgeführten Maßnahmen werden mit dem Eintritt der Rechtskraft des Urteils wirksam.</w:t>
      </w:r>
    </w:p>
    <w:p>
      <w:r>
        <w:rPr>
          <w:color w:val="555555"/>
          <w:sz w:val="17"/>
        </w:rPr>
        <w:t xml:space="preserve">Zitiervorschlag: § 110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