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102 NW_28044 (Nordrhein-Westfalen) — Terminierung der mündlichen Verhandlung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Ergeht kein Bescheid gemäß § 101, oder ist Antrag auf mündliche Verhandlung gestellt, so setzt der Vorsitz Termin zur mündlichen Verhandlung an.</w:t>
      </w:r>
    </w:p>
    <w:p>
      <w:r>
        <w:rPr>
          <w:color w:val="555555"/>
          <w:sz w:val="17"/>
        </w:rPr>
        <w:t xml:space="preserve">Zitiervorschlag: § 102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https://recht.nulegal.eu/gesetze/NW_28044/102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