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101 NW_28044 (Nordrhein-Westfalen) — Verwerfung der Berufung, Antrag auf mündliche Verhandlung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Berufung kann durch einen mit Gründen versehenen Bescheid des Vorsitzes des Landesberufsgerichts für Heilberufe verworfen werden, wenn sie wegen Versäumnis der Berufungsfrist oder aus anderen Gründen unzulässig ist.</w:t>
      </w:r>
    </w:p>
    <w:p>
      <w:r>
        <w:t xml:space="preserve">(2) Die Berufungsklägerin und der Berufungskläger können innerhalb eines Monats nach Zustellung des Bescheides mündliche Verhandlung beantragen. Wird der Antrag rechtzeitig gestellt, so gilt der Bescheid als nicht ergangen; anderenfalls gilt er als rechtskräftiges Urteil.</w:t>
      </w:r>
    </w:p>
    <w:p>
      <w:r>
        <w:t xml:space="preserve">(3) § 83 findet auf das Berufungsverfahren keine Anwendung.</w:t>
      </w:r>
    </w:p>
    <w:p>
      <w:r>
        <w:rPr>
          <w:color w:val="555555"/>
          <w:sz w:val="17"/>
        </w:rPr>
        <w:t xml:space="preserve">Zitiervorschlag: § 101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