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NW_28044 (Nordrhein-Westfalen) — Organe der Kammer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Organe der Kammern sind:</w:t>
      </w:r>
    </w:p>
    <w:p>
      <w:r>
        <w:t xml:space="preserve">1. die Kammerversammlung,</w:t>
      </w:r>
    </w:p>
    <w:p>
      <w:r>
        <w:t xml:space="preserve">2. der Kammervorstand,</w:t>
      </w:r>
    </w:p>
    <w:p>
      <w:r>
        <w:t xml:space="preserve">3. die Präsidentin oder der Präsident.</w:t>
      </w:r>
    </w:p>
    <w:p>
      <w:r>
        <w:t xml:space="preserve">(2) Die Tätigkeit gewählter Kammerangehöriger in den Organen, Ausschüssen, sonstigen Gremien und Untergliederungen wird ehrenamtlich ausgeübt. Gleiches gilt für die Tätigkeit von durch Organe berufene Kammerangehörige.</w:t>
      </w:r>
    </w:p>
    <w:p>
      <w:r>
        <w:rPr>
          <w:color w:val="555555"/>
          <w:sz w:val="17"/>
        </w:rPr>
        <w:t xml:space="preserve">Zitiervorschlag: § 10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