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NW_28042 (Nordrhein-Westfalen) — Inkrafttreten</w:t>
      </w:r>
    </w:p>
    <w:p>
      <w:r>
        <w:rPr>
          <w:color w:val="555555"/>
          <w:sz w:val="18"/>
        </w:rPr>
        <w:t xml:space="preserve">Fn 9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Juni 2000 in Kraft.</w:t>
      </w:r>
    </w:p>
    <w:p>
      <w:r>
        <w:t xml:space="preserve">Der Minister</w:t>
      </w:r>
    </w:p>
    <w:p>
      <w:r>
        <w:t xml:space="preserve">für Bauen und Wohnen</w:t>
      </w:r>
    </w:p>
    <w:p>
      <w:r>
        <w:t xml:space="preserve">des Landes Nordrhein-Westfalen</w:t>
      </w:r>
    </w:p>
    <w:p>
      <w:r>
        <w:t xml:space="preserve">Hinweis</w:t>
      </w:r>
    </w:p>
    <w:p>
      <w:r>
        <w:t xml:space="preserve">Wiederherstellung des Verordnungsranges</w:t>
      </w:r>
    </w:p>
    <w:p>
      <w:r>
        <w:t xml:space="preserve">(Artikel 170 des Vierten Befristungsgesetzes vom 5.4.2005 (GV. NRW. S. 332))</w:t>
      </w:r>
    </w:p>
    <w:p>
      <w:r>
        <w:t xml:space="preserve">Die in diesem Gesetz erlassenen oder geänderten Rechtsverordnungen können aufgrund der jeweils einschlägigen Verordnungsermächtigungen durch Rechtsverordnung geändert werden.</w:t>
      </w:r>
    </w:p>
    <w:p>
      <w:r>
        <w:rPr>
          <w:color w:val="555555"/>
          <w:sz w:val="17"/>
        </w:rPr>
        <w:t xml:space="preserve">Zitiervorschlag: § 26 NW_28042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https://recht.nulegal.eu/gesetze/NW_28042/26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