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NW_28042 (Nordrhein-Westfalen) — Ordnungswidrigkeiten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 entgegen § 1 Absatz 1 oder § 6 Absatz 9 die Bezeichnung "staatlich anerkannte Sachverständige" oder "staatlich anerkannter Sachverständiger" führt.</w:t>
      </w:r>
    </w:p>
    <w:p>
      <w:r>
        <w:t xml:space="preserve">(2) Die Ordnungswidrigkeit kann in den Fällen des § 1 Absatz 1 mit einer Geldbuße bis zu 30.000 Euro, in den Fällen des § 6 Absatz 9 mit einer Geldbuße bis zu 15.000 Euro geahndet werden.</w:t>
      </w:r>
    </w:p>
    <w:p>
      <w:r>
        <w:t xml:space="preserve">(3) Verwaltungsbehörden im Sinne des § 36 Abs. 1 Nr. 1 des Gesetzes über Ordnungswidrigkeiten sind die Architektenkammer Nordrhein-Westfalen und die Ingenieurkammer-Bau Nordrhein-Westfalen.</w:t>
      </w:r>
    </w:p>
    <w:p>
      <w:r>
        <w:rPr>
          <w:color w:val="555555"/>
          <w:sz w:val="17"/>
        </w:rPr>
        <w:t xml:space="preserve">Zitiervorschlag: § 25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