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NW_28042 (Nordrhein-Westfalen) — Aufgabenerledigung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Staatlich anerkannte Sachverständige für Schall- und Wärmeschutz haben Nachweise über den Schallschutz und den Wärmeschutz entsprechend den geltenden Vorschriften aufzustellen oder, wenn die Nachweise nicht von staatlich anerkannten Sachverständigen für Schall- und Wärmeschutz aufgestellt sind, diese zu prüfen und zu bescheinigen, dass die Anforderungen an den Schall- und Wärmeschutz erfüllt sind.</w:t>
      </w:r>
    </w:p>
    <w:p>
      <w:r>
        <w:t xml:space="preserve">(2) Staatlich anerkannte Sachverständige für Schall- und Wärmeschutz dürfen Bescheinigungen bei Fertigstellung nur ausstellen, wenn sie sich stichprobenhaft während der Bauausführung davon überzeugt haben, dass die geprüften Anforderungen berücksichtigt sind.</w:t>
      </w:r>
    </w:p>
    <w:p>
      <w:r>
        <w:t xml:space="preserve">Sechster Abschnitt</w:t>
      </w:r>
    </w:p>
    <w:p>
      <w:r>
        <w:rPr>
          <w:color w:val="555555"/>
          <w:sz w:val="17"/>
        </w:rPr>
        <w:t xml:space="preserve">Zitiervorschlag: § 23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