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NW_28042 (Nordrhein-Westfalen) — Anerkennungsverfahren</w:t>
      </w:r>
    </w:p>
    <w:p>
      <w:r>
        <w:rPr>
          <w:color w:val="555555"/>
          <w:sz w:val="18"/>
        </w:rPr>
        <w:t xml:space="preserve">Fn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Antrag auf Anerkennung als staatlich anerkannte Sachverständige für Schall- und Wärmeschutz entscheidet je nach Mitgliedschaft die Architektenkammer Nordrhein-Westfalen oder die Ingenieurkammer-Bau Nordrhein-Westfalen auf der Grundlage der Entscheidung des jeweiligen Anerkennungsausschusses.</w:t>
      </w:r>
    </w:p>
    <w:p>
      <w:r>
        <w:t xml:space="preserve">(2) Über die Eignung der Antragstellerin oder des Antragstellers entscheidet ein Anerkennungsausschuss der Architektenkammer Nordrhein-Westfalen oder der Ingenieurkammer-Bau Nordrhein-Westfalen. Die Kammern erlassen jeweils inhaltsgleiche Verfahrensordnungen, die der Genehmigung der Aufsichtsbehörde bedürfen.</w:t>
      </w:r>
    </w:p>
    <w:p>
      <w:r>
        <w:rPr>
          <w:color w:val="555555"/>
          <w:sz w:val="17"/>
        </w:rPr>
        <w:t xml:space="preserve">Zitiervorschlag: § 21 NW_28042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