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NW_28042 (Nordrhein-Westfalen) — Anerkennung, Verfahren</w:t>
      </w:r>
    </w:p>
    <w:p>
      <w:r>
        <w:rPr>
          <w:color w:val="555555"/>
          <w:sz w:val="18"/>
        </w:rPr>
        <w:t xml:space="preserve">Fn 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Antrag erfolgt die Anerkennung durch die Architektenkammer Nordrhein-Westfalen oder die Ingenieurkammer-Bau Nordrhein-Westfalen; sie kann für einen oder mehrere Fachbereiche gemäß § 1 Absatz 3 ausgesprochen werden.</w:t>
      </w:r>
    </w:p>
    <w:p>
      <w:r>
        <w:t xml:space="preserve">Der Antrag ist in den Fällen des § 1 Absatz 3 Nummer 1 bis 4 von Personen, die Mitglied einer Ingenieurkammer sind, an die Ingenieurkammer-Bau Nordrhein-Westfalen und in den Fällen des § 1 Absatz 3 Nummer 2 und 4 von Personen, die Mitglied einer Architektenkammer sind, an die Architektenkammer Nordrhein-Westfalen zu richten. In dem Antrag sind der beantragte Fachbereich und die beantragte Fachrichtung anzugeben.</w:t>
      </w:r>
    </w:p>
    <w:p>
      <w:r>
        <w:t xml:space="preserve">(2) Mit dem Antrag müssen die erforderlichen Unterlagen zum Nachweis der persönlichen und fachlichen Voraussetzungen vorliegen, insbesondere</w:t>
      </w:r>
    </w:p>
    <w:p>
      <w:r>
        <w:t xml:space="preserve">1. ein Lebenslauf mit lückenloser Angabe des fachlichen Werdegangs bis zum Zeitpunkt der Antragstellung,</w:t>
      </w:r>
    </w:p>
    <w:p>
      <w:r>
        <w:t xml:space="preserve">2. eine beglaubigte Ablichtung der Abschlusszeugnisse der berufsbezogenen Ausbildung,</w:t>
      </w:r>
    </w:p>
    <w:p>
      <w:r>
        <w:t xml:space="preserve">3. ein Führungszeugnis zur Vorlage bei einer Behörde gem. § 30 Absatz 5 Bundeszentralregistergesetz (BRZG), das nicht älter als drei Monate sein soll, oder ein gleichwertiges Dokument eines Mitgliedstaates der Europäischen Union,</w:t>
      </w:r>
    </w:p>
    <w:p>
      <w:r>
        <w:t xml:space="preserve">4. ein Nachweis, dass die persönlichen Voraussetzungen nach § 3 Absatz 2 erfüllt sind,</w:t>
      </w:r>
    </w:p>
    <w:p>
      <w:r>
        <w:t xml:space="preserve">5. die für die beantragten Fachbereiche erforderlichen Nachweise nach § 3 Absatz 3,</w:t>
      </w:r>
    </w:p>
    <w:p>
      <w:r>
        <w:t xml:space="preserve">6. eine Erklärung, dass Versagensgründe nach § 3 Absatz 4 nicht vorliegen.</w:t>
      </w:r>
    </w:p>
    <w:p>
      <w:r>
        <w:t xml:space="preserve">Die Kammern können, wenn es zur Beurteilung des Antrages erforderlich ist, weitere Nachweise verlangen.</w:t>
      </w:r>
    </w:p>
    <w:p>
      <w:r>
        <w:t xml:space="preserve">(3) Verfahren nach den vorstehenden Absätzen können über eine einheitliche Stelle nach den Vorschriften des Verwaltungsverfahrensgesetzes abgewickelt werden. Die zuständige Kammer stellt eine Empfangsbestätigung nach § 71 b Absatz 3 und 4 VwVfG NRW aus. Hat sie nicht innerhalb einer Frist von drei Monaten entschieden, gilt die Anerkennung als erteilt. Es gilt § 42 a VwVfG NRW mit der Maßgabe, dass die Fristverlängerung zwei Monate nicht übersteigen darf.</w:t>
      </w:r>
    </w:p>
    <w:p>
      <w:r>
        <w:t xml:space="preserve">(4) Die Kammern führen über die von ihnen staatlich anerkannten Sachverständigen nach Fachbereichen getrennte Listen.</w:t>
      </w:r>
    </w:p>
    <w:p>
      <w:r>
        <w:rPr>
          <w:color w:val="555555"/>
          <w:sz w:val="17"/>
        </w:rPr>
        <w:t xml:space="preserve">Zitiervorschlag: § 2 NW_28042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