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NW_28042 (Nordrhein-Westfalen) — Besondere Voraussetzungen für die Anerkennung</w:t>
      </w:r>
    </w:p>
    <w:p>
      <w:r>
        <w:rPr>
          <w:color w:val="555555"/>
          <w:sz w:val="18"/>
        </w:rPr>
        <w:t xml:space="preserve">Fn 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Als staatlich anerkannte Sachverständige für die Prüfung des Brandschutzes können Personen anerkannt werden, die neben den allgemeinen Voraussetzungen des § 3</w:t>
      </w:r>
    </w:p>
    <w:p>
      <w:r>
        <w:t xml:space="preserve">1. mindestens fünf Jahre Berufserfahrung in der brandschutztechnischen Planung und Ausführung oder der Prüfung und Überwachung von baulichen Anlagen, insbesondere auch von Sonderbauten, haben,</w:t>
      </w:r>
    </w:p>
    <w:p>
      <w:r>
        <w:t xml:space="preserve">2. Kenntnisse in der Baustofftechnologie, insbesondere des Brandverhaltens von Bauprodukten besitzen,</w:t>
      </w:r>
    </w:p>
    <w:p>
      <w:r>
        <w:t xml:space="preserve">3. Grundkenntnisse im Bereich des abwehrenden Brandschutzes besitzen,</w:t>
      </w:r>
    </w:p>
    <w:p>
      <w:r>
        <w:t xml:space="preserve">4. besondere Kenntnisse der gesetzlichen Grundlagen des vorbeugenden baulichen Brandschutzes und der allgemein anerkannten Regeln der Technik, soweit sich aus ihnen Anforderungen an den vorbeugenden baulichen Brandschutz ergeben, besitzen,</w:t>
      </w:r>
    </w:p>
    <w:p>
      <w:r>
        <w:t xml:space="preserve">5. Kenntnisse der auf dem Gebiet des vorbeugenden baulichen Brandschutzes verwendeten Nachweisverfahren und Berechnungsmethoden, sowie über Abläufe von Brandszenarien besitzen und</w:t>
      </w:r>
    </w:p>
    <w:p>
      <w:r>
        <w:t xml:space="preserve">6. Kenntnisse in der Anwendung anlagentechnischer Brandschutzmaßnahmen und ihre Auswirkungen auf den baulichen Brandschutz besitzen.</w:t>
      </w:r>
    </w:p>
    <w:p>
      <w:r>
        <w:t xml:space="preserve">Das Vorliegen der Anerkennungsvoraussetzungen der Nummern 2 bis 6 wird durch eine Bescheinigung des Prüfungsausschusses nachgewiesen.</w:t>
      </w:r>
    </w:p>
    <w:p>
      <w:r>
        <w:rPr>
          <w:color w:val="555555"/>
          <w:sz w:val="17"/>
        </w:rPr>
        <w:t xml:space="preserve">Zitiervorschlag: § 13 NW_28042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https://recht.nulegal.eu/gesetze/NW_28042/13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