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NW_28024 (Nordrhein-Westfalen) — Information und Beratung</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Schule informiert die Schülerinnen und Schüler, die in die Jahrgangsstufe 13 eintreten wollen, über die Regelungen dieser Verordnung, insbesondere über die Anforderungen im Unterricht der Jahrgangsstufe 13 und über die Prüfungsanforderungen (§ 2).</w:t>
      </w:r>
    </w:p>
    <w:p>
      <w:r>
        <w:t xml:space="preserve">2. Abschnitt</w:t>
      </w:r>
    </w:p>
    <w:p>
      <w:r>
        <w:t xml:space="preserve">Bestimmungen für die Jahrgangsstufe 13</w:t>
      </w:r>
    </w:p>
    <w:p>
      <w:r>
        <w:rPr>
          <w:color w:val="555555"/>
          <w:sz w:val="17"/>
        </w:rPr>
        <w:t xml:space="preserve">Zitiervorschlag: § 4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