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NW_28004 (Nordrhein-Westfalen) — Anspruch auf Hilfen</w:t>
      </w:r>
    </w:p>
    <w:p>
      <w:r>
        <w:rPr>
          <w:color w:val="555555"/>
          <w:sz w:val="18"/>
        </w:rPr>
        <w:t xml:space="preserve">PsychKG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Hilfen sind zu gewähren, sobald dem Träger dieser Hilfen durch begründeten Antrag Hilfebedürftiger oder Dritter bekannt wird, dass die in § 1 Abs. 1 Nr. 1 bezeichneten Voraussetzungen vorliegen.</w:t>
      </w:r>
    </w:p>
    <w:p>
      <w:r>
        <w:t xml:space="preserve">(2) Der Träger der Hilfen soll darüber hinaus von Amts wegen tätig werden, wenn Anhaltspunkte vorliegen, dass Hilfebedürftige nicht in der Lage sind, Hilfen zu beantragen.</w:t>
      </w:r>
    </w:p>
    <w:p>
      <w:r>
        <w:rPr>
          <w:color w:val="555555"/>
          <w:sz w:val="17"/>
        </w:rPr>
        <w:t xml:space="preserve">Zitiervorschlag: § 4 NW_28004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https://recht.nulegal.eu/gesetze/NW_28004/4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