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NW_28004 (Nordrhein-Westfalen) — Berichtspflicht</w:t>
      </w:r>
    </w:p>
    <w:p>
      <w:r>
        <w:rPr>
          <w:color w:val="555555"/>
          <w:sz w:val="18"/>
        </w:rPr>
        <w:t xml:space="preserve">PsychKG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Erfahrungen mit diesem Gesetz ist dem Landtag bis zum 31. Dezember 2019 und danach alle fünf Jahre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Justizminister</w:t>
      </w:r>
    </w:p>
    <w:p>
      <w:r>
        <w:t xml:space="preserve">Die Ministerin für Frauen,</w:t>
      </w:r>
    </w:p>
    <w:p>
      <w:r>
        <w:t xml:space="preserve">Jugend, Familie und Gesundheit</w:t>
      </w:r>
    </w:p>
    <w:p>
      <w:r>
        <w:rPr>
          <w:color w:val="555555"/>
          <w:sz w:val="17"/>
        </w:rPr>
        <w:t xml:space="preserve">Zitiervorschlag: § 39 NW_28004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https://recht.nulegal.eu/gesetze/NW_28004/39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