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NW_28004 (Nordrhein-Westfalen) — Durchführung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1 Soweit Krankenhäuser soziale Dienste nach § 5 Absatz 2 KHGG NRW oder Institutsambulanzen nach § 118 SGB V vorhalten, ist die nachsorgende Hilfe in enger Zusammenarbeit mit diesen durchzuführen und von den unteren Gesundheitsbehörden zu koordinieren. 2§ 8 gilt entsprechend. 3Sprechstunden und Hausbesuche können nach Absprache mit dem Träger der Hilfe für die untere Gesundheitsbehörde von den Einrichtungen nach Satz 1 wahrgenommen werden.</w:t>
      </w:r>
    </w:p>
    <w:p>
      <w:r>
        <w:t xml:space="preserve">(2) In der nachsorgenden Hilfe sind, insbesondere nach Ablauf einer Aussetzung der Vollziehung, die Betroffenen erforderlichenfalls über die Folgen einer Unterbrechung der notwendigen ärztlichen Behandlung aufzuklären.</w:t>
      </w:r>
    </w:p>
    <w:p>
      <w:r>
        <w:rPr>
          <w:color w:val="555555"/>
          <w:sz w:val="17"/>
        </w:rPr>
        <w:t xml:space="preserve">Zitiervorschlag: § 28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