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NW_28004 (Nordrhein-Westfalen) — Ziel der nachsorgenden Hilfe</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 der nachsorgenden Hilfe ist es, die Betroffenen nach einer Unterbringung oder einer sonstigen stationären psychiatrischen Behandlung durch individuelle, ärztlich geleitete Beratung und psychosoziale Maßnahmen zu befähigen, ein eigenverantwortliches und selbstbestimmtes Leben in der Gemeinschaft zu führen.</w:t>
      </w:r>
    </w:p>
    <w:p>
      <w:r>
        <w:t xml:space="preserve">(2) Ist die Aussetzung der Vollziehung einer Unterbringung nach § 328 Absatz 1 FamFG, bei Minderjährigen in Verbindung mit § 167 Absatz 1 FamFG von Auflagen über eine ärztliche Behandlung abhängig gemacht worden, gehört es zur Aufgabe der nachsorgenden Hilfe, die Einhaltung dieser Auflagen zu überwachen.</w:t>
      </w:r>
    </w:p>
    <w:p>
      <w:r>
        <w:rPr>
          <w:color w:val="555555"/>
          <w:sz w:val="17"/>
        </w:rPr>
        <w:t xml:space="preserve">Zitiervorschlag: § 27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