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NW_28004 (Nordrhein-Westfalen) — Freiwilliger Krankenhausaufenthalt</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Verbleiben die Betroffenen nach Aufhebung der Unterbringungsanordnung, Ablauf der angeordneten Unterbringungszeit oder Eintritt der Entlassungsverpflichtung gemäß § 14 Abs. 2 auf Grund rechtswirksamer Einwilligung weiter in dem Krankenhaus, ist dies durch die ärztliche Leitung dem Gericht, der örtlichen Ordnungsbehörde, dem Sozialpsychiatrischen Dienst der unteren Gesundheitsbehörde und der gesetzlichen Vertretung der Betroffenen mitzuteilen.</w:t>
      </w:r>
    </w:p>
    <w:p>
      <w:r>
        <w:t xml:space="preserve">Abschnitt V</w:t>
      </w:r>
    </w:p>
    <w:p>
      <w:r>
        <w:t xml:space="preserve">Nachsorgende Hilfe für psychisch Kranke</w:t>
      </w:r>
    </w:p>
    <w:p>
      <w:r>
        <w:rPr>
          <w:color w:val="555555"/>
          <w:sz w:val="17"/>
        </w:rPr>
        <w:t xml:space="preserve">Zitiervorschlag: § 26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