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NW_28004 (Nordrhein-Westfalen) — Schriftverkehr</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Betroffenen haben das Recht, Schreiben abzusenden und zu empfangen.</w:t>
      </w:r>
    </w:p>
    <w:p>
      <w:r>
        <w:t xml:space="preserve">(2) Der Schriftwechsel mit den gesetzlichen Vertretungen, den Verfahrenspflegerinnen und Verfahrenspflegern, den Verfahrensbevollmächtigten, Notarinnen und Notaren, mit dem Europäischen Parlament, Volksvertretungen des Bundes und des Landes, ihren Mitgliedern, dem Träger des Krankenhauses sowie seiner Beschwerdestelle, den zuständigen Behörden, den Gerichten oder Staatsanwaltschaften in der Bundesrepublik Deutschland, dem Bürgerbeauftragten der Europäischen Union, der Europäischen Kommission für Menschenrechte in Straßburg sowie den für die Datenschutzkontrolle zuständigen Stellen darf weder unterbunden noch überwacht werden.</w:t>
      </w:r>
    </w:p>
    <w:p>
      <w:r>
        <w:t xml:space="preserve">(3) 1 Um eine erhebliche Selbstgefährdung oder eine erhebliche Gefährdung bedeutender Rechtsgüter anderer zu vermeiden, können der Schriftwechsel überwacht und Schreiben angehalten oder verwahrt werden. 2Absenderinnen und Absender sowie die Betroffenen sind unverzüglich zu unterrichten, soweit die Schreiben nicht zurückgesendet werden. 3 Die Unterrichtung der Betroffenen kann solange unterbleiben, wie dies aus Gründen der Behandlung zwingend geboten ist. 4 Hiervon sind die Verfahrenspflegerinnen und Verfahrenspfleger, die gesetzliche Vertretung und die Verfahrensbevollmächtigten zu unterrichten.</w:t>
      </w:r>
    </w:p>
    <w:p>
      <w:r>
        <w:t xml:space="preserve">(4) 1Die vorstehenden Bestimmungen sind auch auf Telegramme, Pakete, Päckchen, einzelne Zeitungen und Zeitschriften anzuwenden. 2 Wenn Pakete und Päckchen geöffnet werden, hat dies in Gegenwart der Betroffenen zu geschehen. 3§ 19 Satz 2 gilt entsprechend.</w:t>
      </w:r>
    </w:p>
    <w:p>
      <w:r>
        <w:rPr>
          <w:color w:val="555555"/>
          <w:sz w:val="17"/>
        </w:rPr>
        <w:t xml:space="preserve">Zitiervorschlag: § 21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