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NW_28004 (Nordrhein-Westfalen) — Besondere Sicherungsmaßnahmen</w:t>
      </w:r>
    </w:p>
    <w:p>
      <w:r>
        <w:rPr>
          <w:color w:val="555555"/>
          <w:sz w:val="18"/>
        </w:rPr>
        <w:t xml:space="preserve">PsychKG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Besondere Sicherungsmaßnahmen zur Abwendung einer gegenwärtigen erheblichen Selbstgefährdung oder einer gegenwärtigen erheblichen Gefährdung besonderer Rechtsgüter Dritter sind ausschließlich</w:t>
      </w:r>
    </w:p>
    <w:p>
      <w:r>
        <w:t xml:space="preserve">1. Beschränkung des Aufenthalts im Freien,</w:t>
      </w:r>
    </w:p>
    <w:p>
      <w:r>
        <w:t xml:space="preserve">2. Unterbringung in einem besonderen Raum,</w:t>
      </w:r>
    </w:p>
    <w:p>
      <w:r>
        <w:t xml:space="preserve">3. Festhalten statt Fixierung oder</w:t>
      </w:r>
    </w:p>
    <w:p>
      <w:r>
        <w:t xml:space="preserve">4. Fixierung in der Form der Einschränkung der Bewegungsfreiheit durch mechanische Hilfsmittel</w:t>
      </w:r>
    </w:p>
    <w:p>
      <w:r>
        <w:t xml:space="preserve">Sie dürfen nur dann angeordnet werden, soweit und solange die Gefahr nicht durch mildere Maßnahmen abgewendet werden kann. Soweit es sich um die Anwendung unmittelbaren Zwangs nach den Nummern 2, 3 und 4 handelt, ist jeweils die Maßnahme anzuwenden, die am wenigsten in die Rechte der Betroffenen eingreift.</w:t>
      </w:r>
    </w:p>
    <w:p>
      <w:r>
        <w:t xml:space="preserve">(2) Bei absehbar nicht nur kurzfristigen oder sich regelmäßig wiederholenden Sicherungsmaßnahmen nach Absatz 1 Nummer 4 gelten § 18 Absatz 6 Satz 1 bis 4 und Absatz 7 entsprechend. § 12 Satz 2 ist anzuwenden. Ist die gerichtliche Entscheidung nicht rechtzeitig erreichbar und die sofortige Durchführung der besonderen Sicherungsmaßnahme zur Vermeidung von erheblichen Nachteilen notwendig, so ist der Antrag unmittelbar nach Fixierungsbeginn zu stellen. Einer Antragstellung bei Gericht bedarf es nur dann nicht, wenn bereits zu Beginn der Maßnahme absehbar ist, dass die Entscheidung erst nach Wegfall des Grundes der Maßnahme ergehen wird oder die Maßnahme vor Herbeiführung der Entscheidung tatsächlich beendet und auch keine Wiederholung zu erwarten ist. Das Gericht ist unverzüglich zu unterrichten, wenn die Fixierung nach Antragstellung bei Gericht, aber vor einer gerichtlichen Entscheidung, nicht mehr erforderlich ist.</w:t>
      </w:r>
    </w:p>
    <w:p>
      <w:r>
        <w:t xml:space="preserve">(3) Maßnahmen nach Absatz 1 und 2 sind den Betroffenen vorher anzukündigen und zu begründen. Von der Ankündigung kann bei einer Fixierung ausnahmsweise abgesehen werden, wenn die Umstände sie nicht zulassen, insbesondere wenn die sofortige Anwendung des Zwangsmittels zur Abwehr einer Gefahr notwendig ist. Sie bedürfen der ärztlichen Anordnung und Überwachung. Sie sind zu befristen und sofort aufzuheben, sobald die Voraussetzungen für ihre Anordnung entfallen. Eine Beobachtung durch Einsatz technischer Mittel zur Anfertigung von Bildaufnahmen und Bildaufzeichnungen sowie zum Abhören und Aufzeichnen des gesprochenen Wortes ist verboten. Eine Beobachtung im Rahmen besonderer Sicherungsmaßnahmen darf ausschließlich durch den Einsatz von Personal erfolgen. Bei Fixierungen ist eine ständige persönliche Bezugsbegleitung sowie die Beobachtung mit kontinuierlicher Kontrolle der Vitalfunktionen sicherzustellen. Nach Beendigung einer nicht nur kurzfristigen Fixierung, die nicht richterlich angeordnet worden ist, sind die Betroffenen über die Möglichkeit zu belehren, die Rechtmäßigkeit der durchgeführten Maßnahme gerichtlich überprüfen zu lassen. Anlass, Anordnung, Art, Umfang und Dauer einer Unterbringung in einem besonderen Raum und einer Fixierung sowie eine Belehrung nach Satz 8 sind zu dokumentieren und der Verfahrenspflegerin oder dem Verfahrenspfleger, den Verfahrensbevollmächtigten und der rechtlichen Vertretung der Betroffenen unverzüglich mitzuteilen.</w:t>
      </w:r>
    </w:p>
    <w:p>
      <w:r>
        <w:rPr>
          <w:color w:val="555555"/>
          <w:sz w:val="17"/>
        </w:rPr>
        <w:t xml:space="preserve">Zitiervorschlag: § 20 NW_28004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https://recht.nulegal.eu/gesetze/NW_28004/20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