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NW_28004 (Nordrhein-Westfalen) — Aufnahme, Eingangsuntersuchung und Erforderlichkeit der weiteren Unterbringung</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Krankenhaus unterrichtet die Betroffenen bei der Aufnahme mündlich und schriftlich über ihre Rechte und Pflichten. Weiterhin unterrichtet es die Betroffenen über den richterlichen Beschluss zur Unterbringung, sobald dieser dort vorliegt.</w:t>
      </w:r>
    </w:p>
    <w:p>
      <w:r>
        <w:t xml:space="preserve">(2) Über die Aufnahme der Betroffenen benachrichtigt das Krankenhaus unverzüglich die Verfahrensbevollmächtigten, die rechtliche Vertretung und eine Person ihres Vertrauens. Gleiches gilt für den Termin zur richterlichen Anhörung. Absatz 1 gilt für die in Satz 1 genannten Personen entsprechend.</w:t>
      </w:r>
    </w:p>
    <w:p>
      <w:r>
        <w:t xml:space="preserve">(3) Nach der Aufnahme sind die Betroffenen sofort ärztlich zu untersuchen. Es ist sicherzustellen, dass die Erforderlichkeit der weiteren Unterbringung grundsätzlich täglich ärztlich überprüft, begründet und dokumentiert wird.</w:t>
      </w:r>
    </w:p>
    <w:p>
      <w:r>
        <w:rPr>
          <w:color w:val="555555"/>
          <w:sz w:val="17"/>
        </w:rPr>
        <w:t xml:space="preserve">Zitiervorschlag: § 17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