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NW_28004 (Nordrhein-Westfalen) — Anwendung der Vorschriften über diefreiwillige Gerichtsbarkeit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einstweilige, längerfristige Unterbringungen und Unterbringungen zur Begutachtung, Behandlungen nach § 18 Absatz 4 bis 8 und besondere Sicherungsmaßnahmen sowie für das gerichtliche Verfahren gelten die Vorschriften nach dem Dritten Buch Abschnitt 2 des Gesetzes über das Verfahren in Familiensachen und in den Angelegenheiten der freiwilligen Gerichtsbarkeit vom 17. Dezember 2008 (BGBl. I S. 2586, 2587), das zuletzt durch Artikel 2 des Gesetzes vom 20. November 2015 (BGBl. I S. 2018) geändert worden ist.</w:t>
      </w:r>
    </w:p>
    <w:p>
      <w:r>
        <w:t xml:space="preserve">(2) Gemäß §§ 320 in Verbindung mit 315 Absatz 4 FamFG, bei Minderjährigen in Verbindung mit § 167 Absatz 1 FamFG gibt das Gericht vor Unterbringungsmaßnahmen auch dem Sozialpsychiatrischen Dienst der unteren Gesundheitsbehörde Gelegenheit zur Äußerung und teilt ihm die Entscheidung mit.</w:t>
      </w:r>
    </w:p>
    <w:p>
      <w:r>
        <w:rPr>
          <w:color w:val="555555"/>
          <w:sz w:val="17"/>
        </w:rPr>
        <w:t xml:space="preserve">Zitiervorschlag: § 13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