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NW_28004 (Nordrhein-Westfalen) — Voraussetzungen der Unterbringung</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 Die Unterbringung Betroffener ist nur zulässig, wenn und solange durch deren krankheitsbedingtes Verhalten gegenwärtig eine erhebliche Selbstgefährdung oder eine erhebliche Gefährdung bedeutender Rechtsgüter anderer besteht, die nicht anders abgewendet werden kann. 2 Die fehlende Bereitschaft, sich behandeln zu lassen, rechtfertigt allein keine Unterbringung.</w:t>
      </w:r>
    </w:p>
    <w:p>
      <w:r>
        <w:t xml:space="preserve">(2) Von einer gegenwärtigen Gefahr im Sinne von Absatz 1 ist dann auszugehen, wenn ein schadenstiftendes Ereignis unmittelbar bevorsteht oder sein Eintritt zwar unvorhersehbar, wegen besonderer Umstände jedoch jederzeit zu erwarten ist.</w:t>
      </w:r>
    </w:p>
    <w:p>
      <w:r>
        <w:t xml:space="preserve">(3) Die Anordnung der Unterbringung ist aufzuheben, wenn Maßnahmen nach den in § 1 Abs. 3 genannten Bestimmungen erfolgt sind.</w:t>
      </w:r>
    </w:p>
    <w:p>
      <w:r>
        <w:rPr>
          <w:color w:val="555555"/>
          <w:sz w:val="17"/>
        </w:rPr>
        <w:t xml:space="preserve">Zitiervorschlag: § 11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