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NW_28004 (Nordrhein-Westfalen) — Anwendungsbereich</w:t>
      </w:r>
    </w:p>
    <w:p>
      <w:r>
        <w:rPr>
          <w:color w:val="555555"/>
          <w:sz w:val="18"/>
        </w:rPr>
        <w:t xml:space="preserve">PsychKG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regelt</w:t>
      </w:r>
    </w:p>
    <w:p>
      <w:r>
        <w:t xml:space="preserve">1. Hilfen für Personen, bei denen Anzeichen einer psychischen Krankheit bestehen, die psychisch erkrankt sind oder bei denen die Folgen einer psychischen Krankheit fortbestehen (Betroffene),</w:t>
      </w:r>
    </w:p>
    <w:p>
      <w:r>
        <w:t xml:space="preserve">2. die Anordnung von Schutzmaßnahmen durch die untere Gesundheitsbehörde, soweit gewichtige Anhaltspunkte für eine Selbstgefährdung oder eine Gefährdung bedeutender Rechtsgüter anderer auf Grund einer psychischen Krankheit bestehen, und</w:t>
      </w:r>
    </w:p>
    <w:p>
      <w:r>
        <w:t xml:space="preserve">3. die Unterbringung von den Betroffenen, die psychisch erkrankt sind und dadurch sich selbst oder bedeutende Rechtsgüter anderer erheblich gefährden.</w:t>
      </w:r>
    </w:p>
    <w:p>
      <w:r>
        <w:t xml:space="preserve">(2) Psychische Krankheiten im Sinne dieses Gesetzes sind behandlungsbedürftige Psychosen sowie andere behandlungsbedürftige psychische Störungen und Abhängigkeitserkrankungen von vergleichbarer Schwere.</w:t>
      </w:r>
    </w:p>
    <w:p>
      <w:r>
        <w:t xml:space="preserve">(3) Dieses Gesetz gilt nicht für Personen, die auf Grund der §§ 63, 64 StGB, 81, 126 a, 453 c in Verbindung mit § 463 StPO, §§ 7, 73 JGG und §§ 1631 b, 1795, 1813 sowie 1831 des Bürgerlichen Gesetzbuches untergebracht sind.</w:t>
      </w:r>
    </w:p>
    <w:p>
      <w:r>
        <w:rPr>
          <w:color w:val="555555"/>
          <w:sz w:val="17"/>
        </w:rPr>
        <w:t xml:space="preserve">Zitiervorschlag: § 1 NW_28004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