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15 NW_27992 (Nordrhein-Westfalen) — Kündigung</w:t>
      </w:r>
    </w:p>
    <w:p>
      <w:r>
        <w:rPr>
          <w:color w:val="555555"/>
          <w:sz w:val="18"/>
        </w:rPr>
        <w:t xml:space="preserve">Bekanntmachung des Abkommens über die Errichtung einer Schule für Verfassungsschutz vom 19. Mai 1999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Abkommen wird für die Dauer von fünf Jahren geschlossen; es verlängert sich auf unbestimmte Zeit, wenn es nicht mit einer Frist von einem Jahr zum Ende des Haushaltsjahres gekündigt wird.</w:t>
      </w:r>
    </w:p>
    <w:p>
      <w:r>
        <w:t xml:space="preserve">(2) Die Kündigung erfolgt durch schriftliche Erklärung gegenüber allen anderen Beteiligten.</w:t>
      </w:r>
    </w:p>
    <w:p>
      <w:r>
        <w:t xml:space="preserve">(3) Das Abkommen tritt außer Kraft, wenn es von mehr als der Hälfte der Beteiligten gekündigt wird.</w:t>
      </w:r>
    </w:p>
    <w:p>
      <w:r>
        <w:rPr>
          <w:color w:val="555555"/>
          <w:sz w:val="17"/>
        </w:rPr>
        <w:t xml:space="preserve">Zitiervorschlag: Art 15 NW_27992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https://recht.nulegal.eu/gesetze/NW_27992/15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