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NW_27992 (Nordrhein-Westfalen) — Lehrpersonal</w:t>
      </w:r>
    </w:p>
    <w:p>
      <w:r>
        <w:rPr>
          <w:color w:val="555555"/>
          <w:sz w:val="18"/>
        </w:rPr>
        <w:t xml:space="preserve">Bekanntmachung des Abkommens über die Errichtung einer Schule für Verfassungsschutz vom 19. Mai 1999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Auswahl der hauptamtlichen Dozenten ist darauf zu achten, dass Theorie und Praxis vertreten sind und der MAD-Anteil in einem der Nutzung entsprechenden angemessenen Verhältnis (Teilnehmertage) berücksichtigt wird.</w:t>
      </w:r>
    </w:p>
    <w:p>
      <w:r>
        <w:t xml:space="preserve">(2) Die hauptamtlichen Dozenten werden vom Bund und von den Ländern an die SfV entsandt. Die Dauer der Entsendung soll 5 Jahre nicht überschreiten.</w:t>
      </w:r>
    </w:p>
    <w:p>
      <w:r>
        <w:t xml:space="preserve">(3) Die SfV hat zur Erfüllung ihrer Aufgaben Gastdozenten aus Praxis und Wissenschaft heranzuziehen.</w:t>
      </w:r>
    </w:p>
    <w:p>
      <w:r>
        <w:rPr>
          <w:color w:val="555555"/>
          <w:sz w:val="17"/>
        </w:rPr>
        <w:t xml:space="preserve">Zitiervorschlag: Art 11 NW_27992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https://recht.nulegal.eu/gesetze/NW_27992/11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