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NW_27988 (Nordrhein-Westfalen)</w:t>
      </w:r>
    </w:p>
    <w:p>
      <w:r>
        <w:rPr>
          <w:color w:val="555555"/>
          <w:sz w:val="18"/>
        </w:rPr>
        <w:t xml:space="preserve">Gesetz über die Anerkennung der Verfolgten und Geschädigten der nationalsozialistischen Gewaltherrschaft und über die Betreuung der Verfolgten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Sofern in gesetzlichen Bestimmungen auf die Zonenanweisung der Militärregierung HQ/2900/Sec/(Zon/Pl [45] 20) und die hierzu ergangenen Ergänzungsbestimmungen (Zusammenfassender Erlaß des Sozialministers vom Oktober 1947 zur Durchführung und Ergänzung der genannten Zonenanweisung) Bezug genommen ist, treten die Bestimmungen dieses Gesetzes an deren Stelle.</w:t>
      </w:r>
    </w:p>
    <w:p>
      <w:r>
        <w:rPr>
          <w:color w:val="555555"/>
          <w:sz w:val="17"/>
        </w:rPr>
        <w:t xml:space="preserve">Zitiervorschlag: § 30 NW_27988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https://recht.nulegal.eu/gesetze/NW_27988/30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