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NW_27988 (Nordrhein-Westfalen) — bis § 23</w:t>
      </w:r>
    </w:p>
    <w:p>
      <w:r>
        <w:rPr>
          <w:color w:val="555555"/>
          <w:sz w:val="18"/>
        </w:rPr>
        <w:t xml:space="preserve">Gesetz über die Anerkennung der Verfolgten und Geschädigten der nationalsozialistischen Gewaltherrschaft und über die Betreuung der Verfolgten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III</w:t>
      </w:r>
    </w:p>
    <w:p>
      <w:r>
        <w:t xml:space="preserve">Betreuung.</w:t>
      </w:r>
    </w:p>
    <w:p>
      <w:r>
        <w:rPr>
          <w:color w:val="555555"/>
          <w:sz w:val="17"/>
        </w:rPr>
        <w:t xml:space="preserve">Zitiervorschlag: § 14 NW_27988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https://recht.nulegal.eu/gesetze/NW_27988/14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