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NW_27980 (Nordrhein-Westfalen)</w:t>
      </w:r>
    </w:p>
    <w:p>
      <w:r>
        <w:rPr>
          <w:color w:val="555555"/>
          <w:sz w:val="18"/>
        </w:rPr>
        <w:t xml:space="preserve">Verordnung zur Ausführung der Bundesnotarordnung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Mai 1999</w:t>
      </w:r>
    </w:p>
    <w:p>
      <w:r>
        <w:t xml:space="preserve">Aufgrund des § 6 Abs. 3 Satz 4, § 7 Abs. 5 Satz 2, § 9 Abs. 1 Satz 2, § 25 Abs. 2 Satz 1, § 65 Abs. 1 Satz 2 und Abs. 2 Satz 2, § 100 und § 111 Abs. 3 Satz 3 in Verbindung mit § 100 der Bundesnotarordnung (BNotO) in der Fassung der Bekanntmachung vom 24. Februar 1961 (BGBl. I S. 97), zuletzt geändert durch Gesetze vom 31. August 1998 (BGBl. I S. 2585, ber. BGBl. I 1999 S. 194, und 2600) wird verordnet:</w:t>
      </w:r>
    </w:p>
    <w:p>
      <w:r>
        <w:rPr>
          <w:color w:val="555555"/>
          <w:sz w:val="17"/>
        </w:rPr>
        <w:t xml:space="preserve">Zitiervorschlag: Volltext NW_27980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https://recht.nulegal.eu/gesetze/NW_27980/volltext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NW_27980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