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NW_27980 (Nordrhein-Westfalen)</w:t>
      </w:r>
    </w:p>
    <w:p>
      <w:r>
        <w:rPr>
          <w:color w:val="555555"/>
          <w:sz w:val="18"/>
        </w:rPr>
        <w:t xml:space="preserve">Verordnung zur Ausführung der Bundesnotarordnung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Bis zur Neuregelung der Verbindung zur gemeinsamen Berufsausübung oder der gemeinsamen Nutzung der Geschäftsräume ist § 2 der Verordnung zur Ausführung der Bundesnotarordnung vom 18. Juni 1991 (GV. NW. S. 290) weiter anzuwenden.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Für den Justizminister</w:t>
      </w:r>
    </w:p>
    <w:p>
      <w:r>
        <w:t xml:space="preserve">Der Minister für Bauen und Wohnen</w:t>
      </w:r>
    </w:p>
    <w:p>
      <w:r>
        <w:rPr>
          <w:color w:val="555555"/>
          <w:sz w:val="17"/>
        </w:rPr>
        <w:t xml:space="preserve">Zitiervorschlag: § 4 NW_27980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https://recht.nulegal.eu/gesetze/NW_27980/4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