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NW_27980 (Nordrhein-Westfalen)</w:t>
      </w:r>
    </w:p>
    <w:p>
      <w:r>
        <w:rPr>
          <w:color w:val="555555"/>
          <w:sz w:val="18"/>
        </w:rPr>
        <w:t xml:space="preserve">Verordnung zur Ausführung der Bundesnotarordnung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Oberlandesgerichtsbezirke Düsseldorf und Köln bilden den Bezirk einer Notarkammer. Diese trägt den Namen "Rheinische Notarkammer".</w:t>
      </w:r>
    </w:p>
    <w:p>
      <w:r>
        <w:t xml:space="preserve">(2) Die Rheinische Notarkammer hat ihren Sitz in Köln.</w:t>
      </w:r>
    </w:p>
    <w:p>
      <w:r>
        <w:rPr>
          <w:color w:val="555555"/>
          <w:sz w:val="17"/>
        </w:rPr>
        <w:t xml:space="preserve">Zitiervorschlag: § 2 NW_27980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https://recht.nulegal.eu/gesetze/NW_27980/2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