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NW_27976 (Nordrhein-Westfalen) — Prüfungsergebnis</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Landesrechnungshof teilt das Prüfungsergebnis unverzüglich den zuständigen Stellen zur Äußerung innerhalb einer von ihm zu bestimmenden Frist mit. Er hat es auch anderen Stellen mitzuteilen, soweit er dies aus besonderen Gründen, insbesondere zur Durchsetzung eines Schadenersatzanspruchs, für erforderlich hält. Von einer Mitteilung kann er absehen, wenn es sich um unerhebliche Mängel handelt oder Weiterungen oder Kosten zu erwarten sind, die in keinem angemessenen Verhältnis zu der Bedeutung der Angelegenheit stehen würden.</w:t>
      </w:r>
    </w:p>
    <w:p>
      <w:r>
        <w:t xml:space="preserve">(2) Prüfungsergebnisse von grundsätzlicher oder erheblicher finanzieller Bedeutung teilt der Landesrechnungshof dem Finanzministerium mit.</w:t>
      </w:r>
    </w:p>
    <w:p>
      <w:r>
        <w:rPr>
          <w:color w:val="555555"/>
          <w:sz w:val="17"/>
        </w:rPr>
        <w:t xml:space="preserve">Zitiervorschlag: § 96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