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65c NW_27976 (Nordrhein-Westfalen) — Offenlegung von Vergütungen bei Zuwendungsempfängern</w:t>
      </w:r>
    </w:p>
    <w:p>
      <w:r>
        <w:rPr>
          <w:color w:val="555555"/>
          <w:sz w:val="18"/>
        </w:rPr>
        <w:t xml:space="preserve">Landeshaushaltsordnung (LHO);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65a gilt für Zuwendungsempfänger entsprechend, soweit sie die Mittel zur Deckung der gesamten Ausgaben oder eines nicht abgegrenzten Teils der Ausgaben erhalten und unternehmerisch tätig sind.</w:t>
      </w:r>
    </w:p>
    <w:p>
      <w:r>
        <w:rPr>
          <w:color w:val="555555"/>
          <w:sz w:val="17"/>
        </w:rPr>
        <w:t xml:space="preserve">Zitiervorschlag: § 65c NW_27976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https://recht.nulegal.eu/gesetze/NW_27976/65c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