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65a NW_27976 (Nordrhein-Westfalen) — Offenlegung von Vergütungen bei privatrechtlichen Unternehmen</w:t>
      </w:r>
    </w:p>
    <w:p>
      <w:r>
        <w:rPr>
          <w:color w:val="555555"/>
          <w:sz w:val="18"/>
        </w:rPr>
        <w:t xml:space="preserve">Landeshaushaltsordnung (LHO); Bekanntmachung der Neufassung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Bei Unternehmen in der Rechtsform des privaten Rechts, an denen das Land unmittelbar oder mittelbar mehrheitlich beteiligt ist, wirkt es darauf hin, dass die für die Tätigkeit im Geschäftsjahr gewährten Bezüge jedes einzelnen Mitglieds der Geschäftsführung, des Aufsichtsrates, des Beirates oder einer ähnlichen Einrichtung unter Namensnennung, aufgeteilt nach erfolgsunabhängigen und erfolgsbezogenen Komponenten sowie Komponenten mit langfristiger Anreizwirkung, im Anhang des Jahresabschlusses gesondert veröffentlicht werden. Ist der Jahresabschluss nicht um einen Anhang zu erweitern, wirkt es auf eine gesonderte Veröffentlichung an anderer geeigneter Stelle hin. Die Sätze 1 und 2 gelten auch für:</w:t>
      </w:r>
    </w:p>
    <w:p>
      <w:r>
        <w:t xml:space="preserve">1. Leistungen, die den genannten Mitgliedern für den Fall einer vorzeitigen Beendigung ihrer Tätigkeit zugesagt worden sind,</w:t>
      </w:r>
    </w:p>
    <w:p>
      <w:r>
        <w:t xml:space="preserve">2. Leistungen, die den genannten Mitgliedern für den Fall der regulären Beendigung ihrer Tätigkeit zugesagt worden sind, mit ihrem Barwert sowie den von dem Unternehmen während des Geschäftsjahres hierfür aufgewandten oder zurückgestellten Betrag,</w:t>
      </w:r>
    </w:p>
    <w:p>
      <w:r>
        <w:t xml:space="preserve">3. während des Geschäftsjahres vereinbarte Änderungen dieser Zusagen und</w:t>
      </w:r>
    </w:p>
    <w:p>
      <w:r>
        <w:t xml:space="preserve">4. Leistungen, die einem früheren Mitglied, das seine Tätigkeit im Laufe des Geschäftsjahres beendet hat, in diesem Zusammenhang zugesagt und im Laufe des Geschäftsjahres gewährt worden sind.</w:t>
      </w:r>
    </w:p>
    <w:p>
      <w:r>
        <w:t xml:space="preserve">Der unmittelbaren oder mittelbaren mehrheitlichen Beteiligung des Landes steht es gleich, wenn das Land nur zusammen mit Gemeinden oder Gemeindeverbänden, einem Unternehmen im Sinne von Absatz 1 Satz 1, einem Sparkassen- und Giroverband oder einem Unternehmen in der Rechtsform einer landesunmittelbaren juristischen Person des öffentlichen Rechts unmittelbar oder mittelbar mehrheitlich beteiligt ist. Die auf Veranlassung des Landes gewählten oder entsandten Mitglieder setzen diese Verpflichtung um.</w:t>
      </w:r>
    </w:p>
    <w:p>
      <w:r>
        <w:t xml:space="preserve">(2) Ist das Land nicht mehrheitlich, jedoch in Höhe von mindestens 25 vom Hundert an dem Unternehmen unmittelbar oder mittelbar im Sinne des Absatzes 1 beteiligt, soll es auf eine Veröffentlichung entsprechend den Sätzen 1 bis 3 des Absatzes 1 hinwirken.</w:t>
      </w:r>
    </w:p>
    <w:p>
      <w:r>
        <w:t xml:space="preserve">(3) Absätze 1 und 2 gelten entsprechend für die an die Mitglieder des Aufsichtsrates, des Beirates oder einer ähnlichen Einrichtung gewährten Vorteile für persönlich erbrachte Leistungen, insbesondere Beratungs- und Vermittlungsleistungen.</w:t>
      </w:r>
    </w:p>
    <w:p>
      <w:r>
        <w:rPr>
          <w:color w:val="555555"/>
          <w:sz w:val="17"/>
        </w:rPr>
        <w:t xml:space="preserve">Zitiervorschlag: § 65a NW_27976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https://recht.nulegal.eu/gesetze/NW_27976/65a</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