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r>
        <w:rPr>
          <w:color w:val="767676"/>
          <w:sz w:val="15"/>
        </w:rPr>
        <w:t xml:space="preserve">nu:legal · recht.nulegal.eu</w:t>
      </w:r>
    </w:p>
    <w:p>
      <w:pPr>
        <w:pStyle w:val="Heading1"/>
      </w:pPr>
      <w:r>
        <w:t xml:space="preserve">§ 52 NW_27976 (Nordrhein-Westfalen) — Nutzungen und Sachbezüge</w:t>
      </w:r>
    </w:p>
    <w:p>
      <w:r>
        <w:rPr>
          <w:color w:val="555555"/>
          <w:sz w:val="18"/>
        </w:rPr>
        <w:t xml:space="preserve">Landeshaushaltsordnung (LHO); Bekanntmachung der Neufassung</w:t>
      </w:r>
    </w:p>
    <w:p>
      <w:r>
        <w:rPr>
          <w:color w:val="555555"/>
          <w:sz w:val="18"/>
        </w:rPr>
        <w:t xml:space="preserve">Landesrecht Nordrhein-Westfalen</w:t>
      </w:r>
    </w:p>
    <w:p>
      <w:r>
        <w:rPr>
          <w:color w:val="555555"/>
          <w:sz w:val="18"/>
        </w:rPr>
        <w:t xml:space="preserve">Stand: 26.08.2026 (konsolidierte Textfassung, kein amtliches Inkrafttretensdatum)</w:t>
      </w:r>
    </w:p>
    <w:p>
      <w:r>
        <w:t xml:space="preserve">Nutzungen und Sachbezüge dürfen Angehörigen des öffentlichen Dienstes nur gegen angemessenes Entgelt gewährt werden, soweit nicht durch Gesetz oder Tarifvertrag oder im Haushaltsplan etwas anderes bestimmt ist. Das Finanzministerium kann für die Benutzung von Dienstfahrzeugen Ausnahmen zulassen. Es regelt auch das Nähere über die Zuweisung, Nutzung, Verwaltung und Festsetzung des Nutzungswertes von Dienstwohnungen. Die Dienstwohnungen mit Ausnahme der Dienstwohnungen für Arbeitnehmerinnen und Arbeitnehmer sind im Haushaltsplan auszubringen.</w:t>
      </w:r>
    </w:p>
    <w:p>
      <w:r>
        <w:rPr>
          <w:color w:val="555555"/>
          <w:sz w:val="17"/>
        </w:rPr>
        <w:t xml:space="preserve">Zitiervorschlag: § 52 NW_27976 (Nordrhein-Westfalen)</w:t>
      </w:r>
    </w:p>
    <w:p>
      <w:r>
        <w:rPr>
          <w:color w:val="555555"/>
          <w:sz w:val="17"/>
        </w:rPr>
        <w:t xml:space="preserve">Quelle: nrwrecht, abgerufen 26.08.2026</w:t>
      </w:r>
    </w:p>
    <w:p>
      <w:r>
        <w:rPr>
          <w:color w:val="555555"/>
          <w:sz w:val="17"/>
        </w:rPr>
        <w:t xml:space="preserve">Nicht-amtliche Lesefassung — verbindlich ist die Papierfassung des Gesetz- und Verordnungsblattes für das Land Nordrhein-Westfalen (recht.nrw.de — Verkündungsblätter: https://recht.nrw.de/suche/vbl)</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https://recht.nulegal.eu/gesetze/NW_27976/52</w:t>
      </w:r>
    </w:p>
    <w:p>
      <w:r>
        <w:rPr>
          <w:color w:val="767676"/>
          <w:sz w:val="15"/>
        </w:rPr>
        <w:t xml:space="preserve">nu:legal · recht.nulegal.eu · Nicht-amtliche Lesefassung. Amtliche Fassung: recht.nrw.de</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